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3E" w:rsidRPr="0013233E" w:rsidRDefault="0013233E" w:rsidP="0013233E">
      <w:pPr>
        <w:jc w:val="center"/>
        <w:rPr>
          <w:rFonts w:ascii="黑体" w:eastAsia="黑体" w:hAnsi="Courier New"/>
          <w:sz w:val="28"/>
          <w:szCs w:val="20"/>
        </w:rPr>
      </w:pPr>
      <w:r w:rsidRPr="0013233E">
        <w:rPr>
          <w:rFonts w:ascii="黑体" w:eastAsia="黑体" w:hAnsi="Courier New"/>
          <w:sz w:val="28"/>
          <w:szCs w:val="20"/>
        </w:rPr>
        <w:t>电气工程实</w:t>
      </w:r>
      <w:proofErr w:type="gramStart"/>
      <w:r w:rsidRPr="0013233E">
        <w:rPr>
          <w:rFonts w:ascii="黑体" w:eastAsia="黑体" w:hAnsi="Courier New"/>
          <w:sz w:val="28"/>
          <w:szCs w:val="20"/>
        </w:rPr>
        <w:t>训教师考核</w:t>
      </w:r>
      <w:proofErr w:type="gramEnd"/>
      <w:r w:rsidRPr="0013233E">
        <w:rPr>
          <w:rFonts w:ascii="黑体" w:eastAsia="黑体" w:hAnsi="Courier New" w:hint="eastAsia"/>
          <w:sz w:val="28"/>
          <w:szCs w:val="20"/>
        </w:rPr>
        <w:t>评分记录表</w:t>
      </w:r>
    </w:p>
    <w:p w:rsidR="0013233E" w:rsidRPr="0013233E" w:rsidRDefault="0013233E" w:rsidP="0013233E">
      <w:pPr>
        <w:snapToGrid w:val="0"/>
        <w:spacing w:afterLines="100" w:after="312"/>
        <w:rPr>
          <w:rFonts w:ascii="仿宋_GB2312" w:eastAsia="仿宋_GB2312" w:hAnsi="Courier New"/>
          <w:b/>
          <w:bCs/>
          <w:szCs w:val="20"/>
          <w:u w:val="single"/>
        </w:rPr>
      </w:pPr>
      <w:proofErr w:type="gramStart"/>
      <w:r w:rsidRPr="0013233E">
        <w:rPr>
          <w:rFonts w:ascii="仿宋_GB2312" w:eastAsia="仿宋_GB2312" w:hAnsi="Courier New"/>
          <w:b/>
          <w:bCs/>
          <w:szCs w:val="20"/>
        </w:rPr>
        <w:t>考件编号</w:t>
      </w:r>
      <w:proofErr w:type="gramEnd"/>
      <w:r w:rsidRPr="0013233E">
        <w:rPr>
          <w:rFonts w:ascii="仿宋_GB2312" w:eastAsia="仿宋_GB2312" w:hAnsi="Courier New"/>
          <w:b/>
          <w:bCs/>
          <w:szCs w:val="20"/>
        </w:rPr>
        <w:t>:</w:t>
      </w:r>
      <w:r w:rsidRPr="0013233E">
        <w:rPr>
          <w:rFonts w:ascii="仿宋_GB2312" w:eastAsia="仿宋_GB2312" w:hAnsi="Courier New"/>
          <w:b/>
          <w:bCs/>
          <w:szCs w:val="20"/>
          <w:u w:val="single"/>
        </w:rPr>
        <w:t xml:space="preserve">      </w:t>
      </w:r>
      <w:r w:rsidRPr="0013233E">
        <w:rPr>
          <w:rFonts w:ascii="仿宋_GB2312" w:eastAsia="仿宋_GB2312" w:hAnsi="Courier New"/>
          <w:b/>
          <w:bCs/>
          <w:szCs w:val="20"/>
        </w:rPr>
        <w:t>姓名:</w:t>
      </w:r>
      <w:r w:rsidRPr="0013233E">
        <w:rPr>
          <w:rFonts w:ascii="仿宋_GB2312" w:eastAsia="仿宋_GB2312" w:hAnsi="Courier New"/>
          <w:b/>
          <w:bCs/>
          <w:szCs w:val="20"/>
          <w:u w:val="single"/>
        </w:rPr>
        <w:t xml:space="preserve">          </w:t>
      </w:r>
      <w:r w:rsidRPr="0013233E">
        <w:rPr>
          <w:rFonts w:ascii="仿宋_GB2312" w:eastAsia="仿宋_GB2312" w:hAnsi="Courier New" w:hint="eastAsia"/>
          <w:b/>
          <w:bCs/>
          <w:szCs w:val="20"/>
        </w:rPr>
        <w:t>准考证号</w:t>
      </w:r>
      <w:r w:rsidRPr="0013233E">
        <w:rPr>
          <w:rFonts w:eastAsia="仿宋_GB2312"/>
          <w:b/>
          <w:bCs/>
          <w:szCs w:val="20"/>
        </w:rPr>
        <w:t>:</w:t>
      </w:r>
      <w:r w:rsidRPr="0013233E">
        <w:rPr>
          <w:rFonts w:eastAsia="仿宋_GB2312"/>
          <w:szCs w:val="20"/>
          <w:u w:val="single"/>
        </w:rPr>
        <w:t xml:space="preserve">  </w:t>
      </w:r>
      <w:r w:rsidRPr="0013233E">
        <w:rPr>
          <w:rFonts w:eastAsia="仿宋_GB2312" w:hint="eastAsia"/>
          <w:szCs w:val="20"/>
          <w:u w:val="single"/>
        </w:rPr>
        <w:t xml:space="preserve">             </w:t>
      </w:r>
      <w:r w:rsidRPr="0013233E">
        <w:rPr>
          <w:rFonts w:eastAsia="仿宋_GB2312"/>
          <w:szCs w:val="20"/>
          <w:u w:val="single"/>
        </w:rPr>
        <w:t xml:space="preserve">   </w:t>
      </w:r>
      <w:r w:rsidRPr="0013233E">
        <w:rPr>
          <w:rFonts w:ascii="仿宋_GB2312" w:eastAsia="仿宋_GB2312" w:hAnsi="Courier New"/>
          <w:b/>
          <w:bCs/>
          <w:szCs w:val="20"/>
        </w:rPr>
        <w:t>单位：</w:t>
      </w:r>
      <w:r w:rsidRPr="0013233E">
        <w:rPr>
          <w:rFonts w:ascii="仿宋_GB2312" w:eastAsia="仿宋_GB2312" w:hAnsi="Courier New"/>
          <w:b/>
          <w:bCs/>
          <w:szCs w:val="20"/>
          <w:u w:val="single"/>
        </w:rPr>
        <w:t xml:space="preserve">     </w:t>
      </w:r>
      <w:r w:rsidRPr="0013233E">
        <w:rPr>
          <w:rFonts w:ascii="仿宋_GB2312" w:eastAsia="仿宋_GB2312" w:hAnsi="Courier New" w:hint="eastAsia"/>
          <w:b/>
          <w:bCs/>
          <w:szCs w:val="20"/>
          <w:u w:val="single"/>
        </w:rPr>
        <w:t xml:space="preserve">  </w:t>
      </w:r>
      <w:r w:rsidRPr="0013233E">
        <w:rPr>
          <w:rFonts w:ascii="仿宋_GB2312" w:eastAsia="仿宋_GB2312" w:hAnsi="Courier New"/>
          <w:b/>
          <w:bCs/>
          <w:szCs w:val="20"/>
          <w:u w:val="single"/>
        </w:rPr>
        <w:t xml:space="preserve">         </w:t>
      </w:r>
    </w:p>
    <w:tbl>
      <w:tblPr>
        <w:tblpPr w:leftFromText="180" w:rightFromText="180" w:vertAnchor="text" w:horzAnchor="margin" w:tblpY="143"/>
        <w:tblW w:w="8508" w:type="dxa"/>
        <w:tblLook w:val="04A0" w:firstRow="1" w:lastRow="0" w:firstColumn="1" w:lastColumn="0" w:noHBand="0" w:noVBand="1"/>
      </w:tblPr>
      <w:tblGrid>
        <w:gridCol w:w="1974"/>
        <w:gridCol w:w="3946"/>
        <w:gridCol w:w="2588"/>
      </w:tblGrid>
      <w:tr w:rsidR="0013233E" w:rsidRPr="00E17AE6" w:rsidTr="0013233E">
        <w:trPr>
          <w:trHeight w:val="496"/>
        </w:trPr>
        <w:tc>
          <w:tcPr>
            <w:tcW w:w="85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E17AE6"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kern w:val="0"/>
                <w:sz w:val="28"/>
                <w:szCs w:val="28"/>
              </w:rPr>
              <w:t>、</w:t>
            </w:r>
            <w:r w:rsidRPr="00E17AE6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电动机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顺序控制装接</w:t>
            </w:r>
            <w:r w:rsidRPr="00E17AE6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（时间</w:t>
            </w:r>
            <w:r w:rsidR="00257AB8"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90</w:t>
            </w:r>
            <w:r w:rsidRPr="00E17AE6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分钟）</w:t>
            </w:r>
            <w:r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60分）</w:t>
            </w:r>
            <w:r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E17AE6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  <w:r w:rsidRPr="00E17AE6"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E17AE6">
              <w:rPr>
                <w:b/>
                <w:bCs/>
                <w:color w:val="000000"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13233E" w:rsidRPr="00E17AE6" w:rsidTr="008815AB">
        <w:trPr>
          <w:trHeight w:val="312"/>
        </w:trPr>
        <w:tc>
          <w:tcPr>
            <w:tcW w:w="1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考核项目</w:t>
            </w:r>
          </w:p>
        </w:tc>
        <w:tc>
          <w:tcPr>
            <w:tcW w:w="3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</w:tr>
      <w:tr w:rsidR="0013233E" w:rsidRPr="00E17AE6" w:rsidTr="008815AB">
        <w:trPr>
          <w:trHeight w:val="573"/>
        </w:trPr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315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1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、选择和检查</w:t>
            </w:r>
          </w:p>
        </w:tc>
        <w:tc>
          <w:tcPr>
            <w:tcW w:w="3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未进行选择和检查元件者不得分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13233E" w:rsidRPr="00E17AE6" w:rsidTr="008815AB">
        <w:trPr>
          <w:trHeight w:val="1053"/>
        </w:trPr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元件（5分）</w:t>
            </w:r>
          </w:p>
        </w:tc>
        <w:tc>
          <w:tcPr>
            <w:tcW w:w="3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631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、接线工艺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1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、布线整齐美观</w:t>
            </w:r>
            <w:r w:rsidRPr="00E17AE6">
              <w:rPr>
                <w:color w:val="000000"/>
                <w:kern w:val="0"/>
                <w:sz w:val="24"/>
              </w:rPr>
              <w:t>,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主回路按规定颜色得</w:t>
            </w:r>
            <w:r w:rsidRPr="00E17AE6">
              <w:rPr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13233E" w:rsidRPr="00E17AE6" w:rsidTr="008815AB">
        <w:trPr>
          <w:trHeight w:val="601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、主回路横平竖直</w:t>
            </w:r>
            <w:r w:rsidRPr="00E17AE6">
              <w:rPr>
                <w:color w:val="000000"/>
                <w:kern w:val="0"/>
                <w:sz w:val="24"/>
              </w:rPr>
              <w:t>,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弯成直角</w:t>
            </w:r>
            <w:r w:rsidRPr="00E17AE6">
              <w:rPr>
                <w:color w:val="000000"/>
                <w:kern w:val="0"/>
                <w:sz w:val="24"/>
              </w:rPr>
              <w:t>,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得</w:t>
            </w:r>
            <w:r w:rsidRPr="00E17AE6">
              <w:rPr>
                <w:color w:val="000000"/>
                <w:kern w:val="0"/>
                <w:sz w:val="24"/>
              </w:rPr>
              <w:t>1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601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3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、接线端子不超过</w:t>
            </w:r>
            <w:r w:rsidRPr="00E17AE6">
              <w:rPr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根导线得</w:t>
            </w:r>
            <w:r w:rsidRPr="00E17AE6">
              <w:rPr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315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4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、导线与端子接触良好得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315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5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、无导线绝缘皮压入端子得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315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6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、导线</w:t>
            </w:r>
            <w:proofErr w:type="gramStart"/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露铜不</w:t>
            </w:r>
            <w:proofErr w:type="gramEnd"/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超过</w:t>
            </w:r>
            <w:r w:rsidRPr="00E17AE6">
              <w:rPr>
                <w:color w:val="000000"/>
                <w:kern w:val="0"/>
                <w:sz w:val="24"/>
              </w:rPr>
              <w:t>2mm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得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646"/>
        </w:trPr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7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、导线与接线桩</w:t>
            </w:r>
            <w:proofErr w:type="gramStart"/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连接做</w:t>
            </w:r>
            <w:proofErr w:type="gramEnd"/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羊眼圈或</w:t>
            </w:r>
            <w:proofErr w:type="gramStart"/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瓦型或反圈</w:t>
            </w:r>
            <w:proofErr w:type="gramEnd"/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得</w:t>
            </w:r>
            <w:r w:rsidRPr="00E17AE6">
              <w:rPr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分。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1475"/>
        </w:trPr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3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、线路检测（低压电气设备检修部分）（</w:t>
            </w:r>
            <w:r w:rsidRPr="00E17AE6">
              <w:rPr>
                <w:color w:val="000000"/>
                <w:kern w:val="0"/>
                <w:sz w:val="24"/>
              </w:rPr>
              <w:t>5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要求在不通电时用万用表测量主电路、控制电路等的阻值进行检测。如经考评员检查</w:t>
            </w:r>
            <w:r w:rsidRPr="00E17AE6">
              <w:rPr>
                <w:color w:val="000000"/>
                <w:kern w:val="0"/>
                <w:sz w:val="24"/>
              </w:rPr>
              <w:t xml:space="preserve"> </w:t>
            </w: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一次通电不成功，则此项不得分。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13233E" w:rsidRPr="00E17AE6" w:rsidTr="008815AB">
        <w:trPr>
          <w:trHeight w:val="315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4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、通电试车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1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、第一次通电不成功扣</w:t>
            </w:r>
            <w:r w:rsidRPr="00E17AE6">
              <w:rPr>
                <w:color w:val="000000"/>
                <w:kern w:val="0"/>
                <w:sz w:val="24"/>
              </w:rPr>
              <w:t>3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13233E" w:rsidRPr="00E17AE6" w:rsidTr="008815AB">
        <w:trPr>
          <w:trHeight w:val="315"/>
        </w:trPr>
        <w:tc>
          <w:tcPr>
            <w:tcW w:w="19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hint="eastAsia"/>
                <w:color w:val="000000"/>
                <w:kern w:val="0"/>
                <w:sz w:val="24"/>
              </w:rPr>
              <w:t>30</w:t>
            </w: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2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、第二次通电不成功，扣</w:t>
            </w:r>
            <w:r w:rsidRPr="00E17AE6">
              <w:rPr>
                <w:color w:val="000000"/>
                <w:kern w:val="0"/>
                <w:sz w:val="24"/>
              </w:rPr>
              <w:t>3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1022"/>
        </w:trPr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17AE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3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、第三次通电不成功，扣</w:t>
            </w:r>
            <w:r w:rsidRPr="00E17AE6">
              <w:rPr>
                <w:color w:val="000000"/>
                <w:kern w:val="0"/>
                <w:sz w:val="24"/>
              </w:rPr>
              <w:t>4</w:t>
            </w:r>
            <w:r w:rsidRPr="00E17AE6">
              <w:rPr>
                <w:rFonts w:ascii="宋体" w:hAnsi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233E" w:rsidRPr="00E17AE6" w:rsidRDefault="0013233E" w:rsidP="008815AB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13233E" w:rsidRPr="00E17AE6" w:rsidTr="008815AB">
        <w:trPr>
          <w:trHeight w:val="1379"/>
        </w:trPr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Pr="00E17AE6" w:rsidRDefault="0013233E" w:rsidP="0013233E">
            <w:pPr>
              <w:widowControl/>
              <w:ind w:left="480" w:hangingChars="200" w:hanging="480"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>5</w:t>
            </w:r>
            <w:r>
              <w:rPr>
                <w:color w:val="000000"/>
                <w:kern w:val="0"/>
                <w:sz w:val="24"/>
              </w:rPr>
              <w:t>、</w:t>
            </w:r>
            <w:r>
              <w:rPr>
                <w:rFonts w:hint="eastAsia"/>
                <w:color w:val="000000"/>
                <w:kern w:val="0"/>
                <w:sz w:val="24"/>
              </w:rPr>
              <w:t>安全文明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33E" w:rsidRDefault="0013233E" w:rsidP="008815AB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工具摆放、场地打扫。</w:t>
            </w:r>
          </w:p>
          <w:p w:rsidR="0013233E" w:rsidRPr="00E17AE6" w:rsidRDefault="0013233E" w:rsidP="008815AB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33E" w:rsidRPr="00E17AE6" w:rsidRDefault="0013233E" w:rsidP="008815AB">
            <w:pPr>
              <w:widowControl/>
              <w:rPr>
                <w:color w:val="000000"/>
                <w:kern w:val="0"/>
                <w:sz w:val="24"/>
              </w:rPr>
            </w:pPr>
            <w:r w:rsidRPr="00E17AE6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13233E" w:rsidRDefault="0013233E" w:rsidP="0013233E"/>
    <w:p w:rsidR="00257AB8" w:rsidRDefault="0013233E" w:rsidP="0013233E">
      <w:pPr>
        <w:snapToGrid w:val="0"/>
        <w:spacing w:afterLines="100" w:after="312"/>
        <w:rPr>
          <w:rFonts w:ascii="宋体" w:hAnsi="Courier New"/>
          <w:szCs w:val="20"/>
        </w:rPr>
      </w:pPr>
      <w:r w:rsidRPr="0013233E">
        <w:rPr>
          <w:rFonts w:ascii="宋体" w:hAnsi="Courier New" w:hint="eastAsia"/>
          <w:szCs w:val="20"/>
        </w:rPr>
        <w:t xml:space="preserve">评分人：          年   月   日            核分人：          年   月   日  </w:t>
      </w:r>
    </w:p>
    <w:p w:rsidR="0013233E" w:rsidRPr="00257AB8" w:rsidRDefault="00257AB8" w:rsidP="00257AB8">
      <w:pPr>
        <w:widowControl/>
        <w:jc w:val="left"/>
        <w:rPr>
          <w:rFonts w:ascii="宋体" w:hAnsi="Courier New"/>
          <w:szCs w:val="20"/>
        </w:rPr>
      </w:pPr>
      <w:r>
        <w:rPr>
          <w:rFonts w:ascii="宋体" w:hAnsi="Courier New"/>
          <w:szCs w:val="20"/>
        </w:rPr>
        <w:br w:type="page"/>
      </w:r>
    </w:p>
    <w:tbl>
      <w:tblPr>
        <w:tblStyle w:val="a3"/>
        <w:tblpPr w:leftFromText="180" w:rightFromText="180" w:vertAnchor="page" w:horzAnchor="page" w:tblpXSpec="center" w:tblpY="2074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85"/>
        <w:gridCol w:w="1124"/>
        <w:gridCol w:w="1765"/>
        <w:gridCol w:w="665"/>
        <w:gridCol w:w="1498"/>
        <w:gridCol w:w="895"/>
        <w:gridCol w:w="883"/>
        <w:gridCol w:w="748"/>
      </w:tblGrid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lastRenderedPageBreak/>
              <w:t>姓名</w:t>
            </w:r>
          </w:p>
        </w:tc>
        <w:tc>
          <w:tcPr>
            <w:tcW w:w="2889" w:type="dxa"/>
            <w:gridSpan w:val="2"/>
          </w:tcPr>
          <w:p w:rsidR="00257AB8" w:rsidRDefault="00257AB8" w:rsidP="00CA7921">
            <w:pPr>
              <w:jc w:val="center"/>
            </w:pP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393" w:type="dxa"/>
            <w:gridSpan w:val="2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总得分</w:t>
            </w: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考核项目</w:t>
            </w: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考核内容及要求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配分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评分标准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扣分</w:t>
            </w: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按规定上电，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短路，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跳闸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不正确不得分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接线工艺美观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不美观扣两分；虚接、错接、不按要求接线扣三分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通讯连接正常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不正确不得分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过程完整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错一处扣一分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I/O</w:t>
            </w:r>
            <w:r>
              <w:rPr>
                <w:rFonts w:hint="eastAsia"/>
              </w:rPr>
              <w:t>分配表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实物接线正确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程序完整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功能正常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CA7921">
        <w:trPr>
          <w:jc w:val="center"/>
        </w:trPr>
        <w:tc>
          <w:tcPr>
            <w:tcW w:w="68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24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17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触摸屏界面</w:t>
            </w:r>
          </w:p>
        </w:tc>
        <w:tc>
          <w:tcPr>
            <w:tcW w:w="665" w:type="dxa"/>
          </w:tcPr>
          <w:p w:rsidR="00257AB8" w:rsidRDefault="00257AB8" w:rsidP="00CA792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257AB8" w:rsidRDefault="00257AB8" w:rsidP="00CA7921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883" w:type="dxa"/>
          </w:tcPr>
          <w:p w:rsidR="00257AB8" w:rsidRDefault="00257AB8" w:rsidP="00CA7921">
            <w:pPr>
              <w:jc w:val="center"/>
            </w:pPr>
          </w:p>
        </w:tc>
        <w:tc>
          <w:tcPr>
            <w:tcW w:w="748" w:type="dxa"/>
          </w:tcPr>
          <w:p w:rsidR="00257AB8" w:rsidRDefault="00257AB8" w:rsidP="00CA7921">
            <w:pPr>
              <w:jc w:val="center"/>
            </w:pPr>
          </w:p>
        </w:tc>
      </w:tr>
      <w:tr w:rsidR="00257AB8" w:rsidTr="00257AB8">
        <w:trPr>
          <w:trHeight w:val="570"/>
          <w:jc w:val="center"/>
        </w:trPr>
        <w:tc>
          <w:tcPr>
            <w:tcW w:w="685" w:type="dxa"/>
          </w:tcPr>
          <w:p w:rsidR="00257AB8" w:rsidRPr="00257AB8" w:rsidRDefault="00257AB8" w:rsidP="00CA7921">
            <w:pPr>
              <w:rPr>
                <w:sz w:val="21"/>
                <w:szCs w:val="21"/>
              </w:rPr>
            </w:pPr>
            <w:r w:rsidRPr="00257AB8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124" w:type="dxa"/>
          </w:tcPr>
          <w:p w:rsidR="00257AB8" w:rsidRPr="00257AB8" w:rsidRDefault="00257AB8" w:rsidP="00CA7921">
            <w:pPr>
              <w:rPr>
                <w:sz w:val="21"/>
                <w:szCs w:val="21"/>
              </w:rPr>
            </w:pPr>
            <w:r w:rsidRPr="00257AB8">
              <w:rPr>
                <w:rFonts w:hint="eastAsia"/>
                <w:sz w:val="21"/>
                <w:szCs w:val="21"/>
              </w:rPr>
              <w:t>加工时间</w:t>
            </w:r>
          </w:p>
        </w:tc>
        <w:tc>
          <w:tcPr>
            <w:tcW w:w="4823" w:type="dxa"/>
            <w:gridSpan w:val="4"/>
          </w:tcPr>
          <w:p w:rsidR="00257AB8" w:rsidRPr="00257AB8" w:rsidRDefault="00257AB8" w:rsidP="00CA7921">
            <w:pPr>
              <w:rPr>
                <w:sz w:val="21"/>
                <w:szCs w:val="21"/>
              </w:rPr>
            </w:pPr>
            <w:r w:rsidRPr="00257AB8">
              <w:rPr>
                <w:rFonts w:hint="eastAsia"/>
                <w:sz w:val="21"/>
                <w:szCs w:val="21"/>
              </w:rPr>
              <w:t>规定时间：</w:t>
            </w:r>
            <w:r w:rsidRPr="00257AB8">
              <w:rPr>
                <w:rFonts w:hint="eastAsia"/>
                <w:sz w:val="21"/>
                <w:szCs w:val="21"/>
              </w:rPr>
              <w:t>60</w:t>
            </w:r>
            <w:r w:rsidRPr="00257AB8">
              <w:rPr>
                <w:rFonts w:hint="eastAsia"/>
                <w:sz w:val="21"/>
                <w:szCs w:val="21"/>
              </w:rPr>
              <w:t>分钟，</w:t>
            </w:r>
            <w:r w:rsidRPr="00257AB8">
              <w:rPr>
                <w:rFonts w:ascii="楷体_GB2312" w:eastAsia="楷体_GB2312" w:hAnsi="宋体" w:hint="eastAsia"/>
                <w:sz w:val="21"/>
                <w:szCs w:val="21"/>
              </w:rPr>
              <w:t>到时间停止。满分为40分。</w:t>
            </w:r>
          </w:p>
        </w:tc>
        <w:tc>
          <w:tcPr>
            <w:tcW w:w="883" w:type="dxa"/>
          </w:tcPr>
          <w:p w:rsidR="00257AB8" w:rsidRDefault="00257AB8" w:rsidP="00CA7921"/>
        </w:tc>
        <w:tc>
          <w:tcPr>
            <w:tcW w:w="748" w:type="dxa"/>
          </w:tcPr>
          <w:p w:rsidR="00257AB8" w:rsidRDefault="00257AB8" w:rsidP="00CA7921"/>
        </w:tc>
      </w:tr>
    </w:tbl>
    <w:p w:rsidR="00257AB8" w:rsidRDefault="005F0578" w:rsidP="00257AB8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试</w:t>
      </w: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题</w:t>
      </w:r>
      <w:r w:rsidR="00257AB8">
        <w:rPr>
          <w:rFonts w:hint="eastAsia"/>
          <w:b/>
          <w:bCs/>
          <w:sz w:val="30"/>
          <w:szCs w:val="30"/>
        </w:rPr>
        <w:t>二评分标准</w:t>
      </w:r>
    </w:p>
    <w:p w:rsidR="00257AB8" w:rsidRDefault="00257AB8" w:rsidP="00257AB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注：1、成绩相同者，按完成时间先后排序</w:t>
      </w:r>
    </w:p>
    <w:p w:rsidR="00257AB8" w:rsidRDefault="00257AB8" w:rsidP="00257AB8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2、对于严重违反安全生产规程或两次不听劝教的，监考人员须终止其操作，工件不计分。</w:t>
      </w:r>
    </w:p>
    <w:p w:rsidR="0000044D" w:rsidRPr="00257AB8" w:rsidRDefault="0000044D"/>
    <w:sectPr w:rsidR="0000044D" w:rsidRPr="00257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3FE"/>
    <w:rsid w:val="0000044D"/>
    <w:rsid w:val="0013233E"/>
    <w:rsid w:val="00257AB8"/>
    <w:rsid w:val="005E43FE"/>
    <w:rsid w:val="005F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57AB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57AB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2023-06-19T06:43:00Z</dcterms:created>
  <dcterms:modified xsi:type="dcterms:W3CDTF">2023-06-20T00:04:00Z</dcterms:modified>
</cp:coreProperties>
</file>